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7B414" w14:textId="77777777" w:rsidR="00595035" w:rsidRPr="009A14A5" w:rsidRDefault="00BF7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A14A5">
        <w:rPr>
          <w:rFonts w:ascii="Times New Roman" w:hAnsi="Times New Roman"/>
          <w:b/>
          <w:sz w:val="24"/>
          <w:szCs w:val="24"/>
        </w:rPr>
        <w:t xml:space="preserve">Техническая спецификация </w:t>
      </w:r>
    </w:p>
    <w:p w14:paraId="0E542C19" w14:textId="77777777" w:rsidR="00595035" w:rsidRPr="009A14A5" w:rsidRDefault="00BF7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4A5">
        <w:rPr>
          <w:rFonts w:ascii="Times New Roman" w:hAnsi="Times New Roman"/>
          <w:b/>
          <w:sz w:val="24"/>
          <w:szCs w:val="24"/>
        </w:rPr>
        <w:t xml:space="preserve">по закупке услуг тягового подвижного состава </w:t>
      </w:r>
    </w:p>
    <w:p w14:paraId="4E2C83D6" w14:textId="77777777" w:rsidR="00595035" w:rsidRPr="009A14A5" w:rsidRDefault="00BF7557">
      <w:pPr>
        <w:pStyle w:val="af1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A14A5">
        <w:rPr>
          <w:rFonts w:ascii="Times New Roman" w:hAnsi="Times New Roman"/>
          <w:b/>
          <w:sz w:val="24"/>
          <w:szCs w:val="24"/>
          <w:lang w:val="kk-KZ"/>
        </w:rPr>
        <w:t>(услуги по обеспечению перевозок локомотивной тягой)</w:t>
      </w:r>
    </w:p>
    <w:p w14:paraId="1CCA90E5" w14:textId="77777777" w:rsidR="00595035" w:rsidRPr="009A14A5" w:rsidRDefault="00BF7557">
      <w:pPr>
        <w:pStyle w:val="af1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A14A5">
        <w:rPr>
          <w:rFonts w:ascii="Times New Roman" w:hAnsi="Times New Roman"/>
          <w:b/>
          <w:sz w:val="24"/>
          <w:szCs w:val="24"/>
        </w:rPr>
        <w:t>(код по ЕНС ТРУ - 522111.900.000000)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931"/>
      </w:tblGrid>
      <w:tr w:rsidR="00595035" w:rsidRPr="009A14A5" w14:paraId="2EE5073D" w14:textId="7777777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2225671A" w14:textId="77777777" w:rsidR="00595035" w:rsidRPr="009A14A5" w:rsidRDefault="00BF7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0FF115FB" w14:textId="77777777" w:rsidR="00595035" w:rsidRPr="009A14A5" w:rsidRDefault="00BF7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Требования</w:t>
            </w:r>
          </w:p>
        </w:tc>
      </w:tr>
      <w:tr w:rsidR="00595035" w:rsidRPr="009A14A5" w14:paraId="6D97364C" w14:textId="7777777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23538CD3" w14:textId="77777777" w:rsidR="00595035" w:rsidRPr="009A14A5" w:rsidRDefault="00BF7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574E3013" w14:textId="77777777" w:rsidR="00595035" w:rsidRPr="009A14A5" w:rsidRDefault="00BF7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5035" w:rsidRPr="009A14A5" w14:paraId="74AFFE1A" w14:textId="77777777">
        <w:trPr>
          <w:trHeight w:val="390"/>
        </w:trPr>
        <w:tc>
          <w:tcPr>
            <w:tcW w:w="567" w:type="dxa"/>
            <w:shd w:val="clear" w:color="auto" w:fill="auto"/>
            <w:vAlign w:val="center"/>
          </w:tcPr>
          <w:p w14:paraId="5D0AE2F1" w14:textId="77777777" w:rsidR="00595035" w:rsidRPr="009A14A5" w:rsidRDefault="00BF7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05B10F98" w14:textId="77777777" w:rsidR="00595035" w:rsidRPr="009A14A5" w:rsidRDefault="00BF7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Описание закупаемых товаров, работ и услуг</w:t>
            </w:r>
          </w:p>
        </w:tc>
      </w:tr>
      <w:tr w:rsidR="00595035" w:rsidRPr="009A14A5" w14:paraId="23516C5B" w14:textId="77777777" w:rsidTr="00F97B25">
        <w:trPr>
          <w:trHeight w:val="315"/>
        </w:trPr>
        <w:tc>
          <w:tcPr>
            <w:tcW w:w="567" w:type="dxa"/>
            <w:shd w:val="clear" w:color="auto" w:fill="auto"/>
            <w:vAlign w:val="center"/>
          </w:tcPr>
          <w:p w14:paraId="1EB41B04" w14:textId="77777777" w:rsidR="00595035" w:rsidRPr="009A14A5" w:rsidRDefault="00595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  <w:vAlign w:val="center"/>
          </w:tcPr>
          <w:p w14:paraId="7E7D2DC2" w14:textId="77777777" w:rsidR="00595035" w:rsidRPr="009A14A5" w:rsidRDefault="00BF7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Услуги тягового подвижного состава (услуги по обеспечению перевозок локомотивной тягой)</w:t>
            </w:r>
          </w:p>
        </w:tc>
      </w:tr>
      <w:tr w:rsidR="00595035" w:rsidRPr="009A14A5" w14:paraId="44ACC740" w14:textId="77777777" w:rsidTr="00F97B25">
        <w:trPr>
          <w:trHeight w:val="645"/>
        </w:trPr>
        <w:tc>
          <w:tcPr>
            <w:tcW w:w="567" w:type="dxa"/>
            <w:shd w:val="clear" w:color="auto" w:fill="auto"/>
            <w:vAlign w:val="center"/>
          </w:tcPr>
          <w:p w14:paraId="05B6A2B9" w14:textId="77777777" w:rsidR="00595035" w:rsidRPr="009A14A5" w:rsidRDefault="00BF7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1087CC14" w14:textId="70137430" w:rsidR="00595035" w:rsidRPr="009A14A5" w:rsidRDefault="00BF7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</w:tc>
      </w:tr>
      <w:tr w:rsidR="00595035" w:rsidRPr="009A14A5" w14:paraId="2D2BDCF1" w14:textId="7777777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3364ADA1" w14:textId="77777777" w:rsidR="00595035" w:rsidRPr="009A14A5" w:rsidRDefault="00595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  <w:vAlign w:val="center"/>
          </w:tcPr>
          <w:p w14:paraId="3865C8FD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тягового подвижного состава (услуги по обеспечению перевозок локомотивной тягой) </w:t>
            </w:r>
            <w:r w:rsidRPr="009A14A5">
              <w:rPr>
                <w:rFonts w:ascii="Times New Roman" w:hAnsi="Times New Roman"/>
                <w:sz w:val="24"/>
                <w:szCs w:val="24"/>
              </w:rPr>
              <w:t xml:space="preserve">для вождения грузовых поездов на </w:t>
            </w:r>
            <w:r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>участках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«Казыкурт-Тогус» оказываются в соответствии с Законом Республики Казахстан от 8 декабря 2001 года «О железнодорожном транспорте» и в соответствии с ГОСТ Р 58855-2020 «Услуги на железнодорожном транспорте. Качество услуг в области грузовых перевозок».</w:t>
            </w:r>
          </w:p>
          <w:p w14:paraId="288368EB" w14:textId="58A4146A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Расчетное количество </w:t>
            </w:r>
            <w:r w:rsidR="00B334CB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2024 год </w:t>
            </w:r>
            <w:r w:rsidR="00026F75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26F75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4 332 677,59</w:t>
            </w:r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ткм</w:t>
            </w:r>
            <w:proofErr w:type="spellEnd"/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-нетто, из них:</w:t>
            </w:r>
          </w:p>
          <w:p w14:paraId="545CC042" w14:textId="4F8C0075" w:rsidR="00595035" w:rsidRPr="009A14A5" w:rsidRDefault="00F276DC" w:rsidP="00017AEE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2 970 819,67</w:t>
            </w:r>
            <w:r w:rsidR="00BF7557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(груженный) из расчета 13 км (общая протяженность участка «</w:t>
            </w:r>
            <w:proofErr w:type="spellStart"/>
            <w:r w:rsidR="00BF7557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Казыкурт-Тогус</w:t>
            </w:r>
            <w:proofErr w:type="spellEnd"/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 *6</w:t>
            </w:r>
            <w:r w:rsidR="00143E4A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F7557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сутки (количество суток с учетом отцепки локомотива на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ремонт)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*</w:t>
            </w:r>
            <w:r w:rsidR="00017AEE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3,0228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(количество пар поездов в сутки)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* 60,00 тн. (средний вес груза на вагон)*20 (количество думпкаров в составе);</w:t>
            </w:r>
          </w:p>
          <w:p w14:paraId="0548895C" w14:textId="3BE1825E" w:rsidR="00595035" w:rsidRPr="009A14A5" w:rsidRDefault="00F276DC" w:rsidP="00017AEE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1 361 857,92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(порожний) из расчета 13 км (общая протяженность участка «Казыкурт-Тогус»)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*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6</w:t>
            </w:r>
            <w:r w:rsidR="00143E4A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3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сутки (количество суток с учетом отцепки локомотива на ремонт)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*</w:t>
            </w:r>
            <w:r w:rsidR="00017AEE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3,0233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(количество пар поездов в сутки)</w:t>
            </w:r>
            <w:r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="00BF7557" w:rsidRPr="009A14A5">
              <w:rPr>
                <w:rFonts w:ascii="Times New Roman" w:hAnsi="Times New Roman"/>
                <w:sz w:val="24"/>
                <w:szCs w:val="24"/>
                <w:lang w:val="kk-KZ" w:eastAsia="ru-RU"/>
              </w:rPr>
              <w:t>* 27,5 тн. (средний вес одного вагона)*20 (количество думпкаров в составе</w:t>
            </w:r>
            <w:r w:rsidR="00BF7557"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4AED5622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Срок поставки</w:t>
            </w:r>
            <w:r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с </w:t>
            </w:r>
            <w:r w:rsidR="00B334CB"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>момента заключения договора -</w:t>
            </w:r>
            <w:r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31.12.2024г.</w:t>
            </w:r>
            <w:r w:rsidR="00B334CB"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E0E37E9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измерения – </w:t>
            </w:r>
            <w:proofErr w:type="spellStart"/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ткм</w:t>
            </w:r>
            <w:proofErr w:type="spellEnd"/>
            <w:r w:rsidRPr="009A14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-нетто.</w:t>
            </w:r>
          </w:p>
          <w:p w14:paraId="5283AC27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 xml:space="preserve">Тяговый подвижной состав – тепловоз, предоставляемый для оказания услуг </w:t>
            </w:r>
            <w:r w:rsidRPr="009A14A5">
              <w:rPr>
                <w:rFonts w:ascii="Times New Roman" w:hAnsi="Times New Roman"/>
                <w:sz w:val="24"/>
                <w:szCs w:val="24"/>
                <w:lang w:eastAsia="ru-RU"/>
              </w:rPr>
              <w:t>тягового подвижного состава (услуги по обеспечению перевозок локомотивной тягой)</w:t>
            </w:r>
            <w:r w:rsidRPr="009A14A5">
              <w:rPr>
                <w:rFonts w:ascii="Times New Roman" w:hAnsi="Times New Roman"/>
                <w:sz w:val="24"/>
                <w:szCs w:val="24"/>
              </w:rPr>
              <w:t>, в том числе локомотивные бригады, привлекаемые для оказания услуг по управлению локомотивами должны соответствовать требованиям:</w:t>
            </w:r>
          </w:p>
          <w:p w14:paraId="20702B16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 xml:space="preserve">Инструкции по сигнализации на </w:t>
            </w:r>
            <w:r w:rsidRPr="009A14A5">
              <w:rPr>
                <w:rFonts w:ascii="Times New Roman" w:hAnsi="Times New Roman"/>
                <w:bCs/>
                <w:sz w:val="24"/>
                <w:szCs w:val="24"/>
              </w:rPr>
              <w:t>железнодорожном транспорте</w:t>
            </w:r>
            <w:r w:rsidRPr="009A14A5">
              <w:rPr>
                <w:rFonts w:ascii="Times New Roman" w:hAnsi="Times New Roman"/>
                <w:sz w:val="24"/>
                <w:szCs w:val="24"/>
              </w:rPr>
              <w:t>, утвержденной приказом Министра транспорта и коммуникаций Республики Казахстан от 18 апреля 2011 года № 209;</w:t>
            </w:r>
          </w:p>
          <w:p w14:paraId="0A31B972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 xml:space="preserve">Правилам технической эксплуатации железнодорожного транспорта, утвержденным </w:t>
            </w:r>
            <w:hyperlink r:id="rId9" w:history="1">
              <w:r w:rsidRPr="009A14A5">
                <w:rPr>
                  <w:rStyle w:val="a5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приказом</w:t>
              </w:r>
            </w:hyperlink>
            <w:r w:rsidRPr="009A14A5">
              <w:rPr>
                <w:rFonts w:ascii="Times New Roman" w:hAnsi="Times New Roman"/>
                <w:sz w:val="24"/>
                <w:szCs w:val="24"/>
              </w:rPr>
              <w:t xml:space="preserve"> Министра по инвестициям и развитию Республики Казахстан от 30 апреля 2015 года № 544;</w:t>
            </w:r>
          </w:p>
          <w:p w14:paraId="30A404B6" w14:textId="77777777" w:rsidR="00595035" w:rsidRPr="009A14A5" w:rsidRDefault="00BF7557">
            <w:pPr>
              <w:pStyle w:val="af1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Инструкции по движению поездов и маневровой работе на железнодорожном транспорте Республики Казахстан, утвержденной приказом Министра транспорта и коммуникаций Республики Казахстан от 19 мая 2011 года № 291;</w:t>
            </w:r>
          </w:p>
          <w:p w14:paraId="1F5579BC" w14:textId="77777777" w:rsidR="00595035" w:rsidRPr="009A14A5" w:rsidRDefault="00BF7557">
            <w:pPr>
              <w:tabs>
                <w:tab w:val="left" w:pos="567"/>
              </w:tabs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Правилам предоставления услуг локомотивной тяги, утвержденных приказом Министра транспорта и коммуникаций Республики Казахстан от 28 марта 2007 года №70.</w:t>
            </w:r>
          </w:p>
        </w:tc>
      </w:tr>
      <w:tr w:rsidR="00595035" w:rsidRPr="009A14A5" w14:paraId="174FD51D" w14:textId="7777777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06C7D382" w14:textId="77777777" w:rsidR="00595035" w:rsidRPr="009A14A5" w:rsidRDefault="00BF7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3B09E06B" w14:textId="77777777" w:rsidR="00595035" w:rsidRPr="009A14A5" w:rsidRDefault="005950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  <w:vAlign w:val="center"/>
          </w:tcPr>
          <w:p w14:paraId="14AFB8D9" w14:textId="77777777" w:rsidR="009A14A5" w:rsidRPr="009A14A5" w:rsidRDefault="00BF7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A14A5">
              <w:rPr>
                <w:rFonts w:ascii="Times New Roman" w:hAnsi="Times New Roman"/>
                <w:b/>
                <w:sz w:val="24"/>
                <w:szCs w:val="24"/>
              </w:rPr>
              <w:t xml:space="preserve">Гарантийные сроки (при необходимости) </w:t>
            </w:r>
          </w:p>
          <w:p w14:paraId="01F46192" w14:textId="71635B58" w:rsidR="00595035" w:rsidRPr="009A14A5" w:rsidRDefault="00BF7557" w:rsidP="009A14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14A5">
              <w:rPr>
                <w:rFonts w:ascii="Times New Roman" w:hAnsi="Times New Roman"/>
                <w:sz w:val="24"/>
                <w:szCs w:val="24"/>
              </w:rPr>
              <w:t>В период действия Договора.</w:t>
            </w:r>
          </w:p>
        </w:tc>
      </w:tr>
    </w:tbl>
    <w:p w14:paraId="6CAF806B" w14:textId="77777777" w:rsidR="00595035" w:rsidRPr="009A14A5" w:rsidRDefault="005950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en-US"/>
        </w:rPr>
      </w:pPr>
    </w:p>
    <w:sectPr w:rsidR="00595035" w:rsidRPr="009A14A5">
      <w:headerReference w:type="even" r:id="rId10"/>
      <w:headerReference w:type="default" r:id="rId11"/>
      <w:headerReference w:type="first" r:id="rId12"/>
      <w:pgSz w:w="11906" w:h="16838"/>
      <w:pgMar w:top="140" w:right="851" w:bottom="284" w:left="1418" w:header="142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29F08" w14:textId="77777777" w:rsidR="00EA705C" w:rsidRDefault="00EA705C">
      <w:pPr>
        <w:spacing w:line="240" w:lineRule="auto"/>
      </w:pPr>
      <w:r>
        <w:separator/>
      </w:r>
    </w:p>
  </w:endnote>
  <w:endnote w:type="continuationSeparator" w:id="0">
    <w:p w14:paraId="4493E481" w14:textId="77777777" w:rsidR="00EA705C" w:rsidRDefault="00EA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E2820" w14:textId="77777777" w:rsidR="00EA705C" w:rsidRDefault="00EA705C">
      <w:pPr>
        <w:spacing w:after="0"/>
      </w:pPr>
      <w:r>
        <w:separator/>
      </w:r>
    </w:p>
  </w:footnote>
  <w:footnote w:type="continuationSeparator" w:id="0">
    <w:p w14:paraId="1EBDFABB" w14:textId="77777777" w:rsidR="00EA705C" w:rsidRDefault="00EA70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331D9" w14:textId="77777777" w:rsidR="00595035" w:rsidRDefault="00BF7557">
    <w:pPr>
      <w:pStyle w:val="a8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B2BB8" w14:textId="77777777" w:rsidR="00595035" w:rsidRDefault="00BF755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A14A5">
      <w:rPr>
        <w:noProof/>
      </w:rPr>
      <w:t>60</w:t>
    </w:r>
    <w:r>
      <w:fldChar w:fldCharType="end"/>
    </w:r>
  </w:p>
  <w:p w14:paraId="77290E4D" w14:textId="77777777" w:rsidR="00595035" w:rsidRDefault="0059503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6686" w14:textId="77777777" w:rsidR="00595035" w:rsidRDefault="00595035">
    <w:pPr>
      <w:pStyle w:val="a8"/>
      <w:jc w:val="center"/>
    </w:pPr>
  </w:p>
  <w:p w14:paraId="03CA0511" w14:textId="77777777" w:rsidR="00595035" w:rsidRDefault="005950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A15D7"/>
    <w:multiLevelType w:val="multilevel"/>
    <w:tmpl w:val="368A15D7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pStyle w:val="a0"/>
      <w:isLgl/>
      <w:lvlText w:val="%1.%2."/>
      <w:lvlJc w:val="left"/>
      <w:pPr>
        <w:ind w:left="1304" w:hanging="102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7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B0"/>
    <w:rsid w:val="00000454"/>
    <w:rsid w:val="00006FA9"/>
    <w:rsid w:val="00015046"/>
    <w:rsid w:val="00017AEE"/>
    <w:rsid w:val="00026F75"/>
    <w:rsid w:val="00030BD7"/>
    <w:rsid w:val="0004344F"/>
    <w:rsid w:val="00043D17"/>
    <w:rsid w:val="000556DC"/>
    <w:rsid w:val="00060885"/>
    <w:rsid w:val="00060ECB"/>
    <w:rsid w:val="000831A1"/>
    <w:rsid w:val="00085543"/>
    <w:rsid w:val="000A1ACA"/>
    <w:rsid w:val="000A4326"/>
    <w:rsid w:val="000A5040"/>
    <w:rsid w:val="000B6758"/>
    <w:rsid w:val="000C7012"/>
    <w:rsid w:val="000D4690"/>
    <w:rsid w:val="000E1F97"/>
    <w:rsid w:val="001118B4"/>
    <w:rsid w:val="00114A00"/>
    <w:rsid w:val="0011595E"/>
    <w:rsid w:val="00124428"/>
    <w:rsid w:val="0012685B"/>
    <w:rsid w:val="001270C4"/>
    <w:rsid w:val="00127696"/>
    <w:rsid w:val="00127748"/>
    <w:rsid w:val="00143B1F"/>
    <w:rsid w:val="00143E4A"/>
    <w:rsid w:val="00143EB5"/>
    <w:rsid w:val="00151917"/>
    <w:rsid w:val="0015324C"/>
    <w:rsid w:val="001626BB"/>
    <w:rsid w:val="001B6809"/>
    <w:rsid w:val="001C2F11"/>
    <w:rsid w:val="001D1885"/>
    <w:rsid w:val="001D28C0"/>
    <w:rsid w:val="001E4626"/>
    <w:rsid w:val="0020266E"/>
    <w:rsid w:val="00205989"/>
    <w:rsid w:val="0021122B"/>
    <w:rsid w:val="002212A7"/>
    <w:rsid w:val="002239B1"/>
    <w:rsid w:val="00240FB1"/>
    <w:rsid w:val="00241A10"/>
    <w:rsid w:val="00251F45"/>
    <w:rsid w:val="002538DC"/>
    <w:rsid w:val="00267396"/>
    <w:rsid w:val="00271526"/>
    <w:rsid w:val="00273DC8"/>
    <w:rsid w:val="00296CAF"/>
    <w:rsid w:val="00297381"/>
    <w:rsid w:val="002976EB"/>
    <w:rsid w:val="002A7E52"/>
    <w:rsid w:val="002B6A42"/>
    <w:rsid w:val="002E12F0"/>
    <w:rsid w:val="002E56B8"/>
    <w:rsid w:val="002E7FD2"/>
    <w:rsid w:val="00325F3C"/>
    <w:rsid w:val="00335673"/>
    <w:rsid w:val="003374BB"/>
    <w:rsid w:val="00356FE1"/>
    <w:rsid w:val="00372AAE"/>
    <w:rsid w:val="00382E89"/>
    <w:rsid w:val="00383902"/>
    <w:rsid w:val="00384D80"/>
    <w:rsid w:val="00387353"/>
    <w:rsid w:val="00392742"/>
    <w:rsid w:val="0039579B"/>
    <w:rsid w:val="00397563"/>
    <w:rsid w:val="003A02F1"/>
    <w:rsid w:val="003B59D0"/>
    <w:rsid w:val="003B7DC8"/>
    <w:rsid w:val="003F1A2F"/>
    <w:rsid w:val="00403EBB"/>
    <w:rsid w:val="00406C30"/>
    <w:rsid w:val="00406EA2"/>
    <w:rsid w:val="004260E3"/>
    <w:rsid w:val="004317D3"/>
    <w:rsid w:val="00432061"/>
    <w:rsid w:val="00435CEF"/>
    <w:rsid w:val="00445A52"/>
    <w:rsid w:val="004801B4"/>
    <w:rsid w:val="00485B77"/>
    <w:rsid w:val="004867D9"/>
    <w:rsid w:val="00491773"/>
    <w:rsid w:val="004A6F3E"/>
    <w:rsid w:val="004B62B5"/>
    <w:rsid w:val="004B6FBF"/>
    <w:rsid w:val="004C42E0"/>
    <w:rsid w:val="004E317E"/>
    <w:rsid w:val="00515A8D"/>
    <w:rsid w:val="005266CA"/>
    <w:rsid w:val="00526F17"/>
    <w:rsid w:val="00532163"/>
    <w:rsid w:val="00554940"/>
    <w:rsid w:val="005566A5"/>
    <w:rsid w:val="005605F2"/>
    <w:rsid w:val="00580434"/>
    <w:rsid w:val="005843B9"/>
    <w:rsid w:val="0058708D"/>
    <w:rsid w:val="00590833"/>
    <w:rsid w:val="0059204A"/>
    <w:rsid w:val="00595035"/>
    <w:rsid w:val="00596710"/>
    <w:rsid w:val="005A2143"/>
    <w:rsid w:val="005B1F15"/>
    <w:rsid w:val="005C6BFE"/>
    <w:rsid w:val="005F4E67"/>
    <w:rsid w:val="005F7312"/>
    <w:rsid w:val="006047A3"/>
    <w:rsid w:val="00613036"/>
    <w:rsid w:val="006172CE"/>
    <w:rsid w:val="006220B2"/>
    <w:rsid w:val="0063766C"/>
    <w:rsid w:val="00637881"/>
    <w:rsid w:val="00640F52"/>
    <w:rsid w:val="00656A37"/>
    <w:rsid w:val="00660015"/>
    <w:rsid w:val="00663CE4"/>
    <w:rsid w:val="00676AC1"/>
    <w:rsid w:val="00692992"/>
    <w:rsid w:val="006957B4"/>
    <w:rsid w:val="006A00C1"/>
    <w:rsid w:val="006A2A40"/>
    <w:rsid w:val="006A3630"/>
    <w:rsid w:val="006D3788"/>
    <w:rsid w:val="006E76CB"/>
    <w:rsid w:val="006F484C"/>
    <w:rsid w:val="00707852"/>
    <w:rsid w:val="0071697F"/>
    <w:rsid w:val="00722719"/>
    <w:rsid w:val="00736496"/>
    <w:rsid w:val="00751311"/>
    <w:rsid w:val="0077474D"/>
    <w:rsid w:val="0078628D"/>
    <w:rsid w:val="00795B5D"/>
    <w:rsid w:val="00795DFA"/>
    <w:rsid w:val="007A07B3"/>
    <w:rsid w:val="007A1F61"/>
    <w:rsid w:val="007B18F1"/>
    <w:rsid w:val="007B2E62"/>
    <w:rsid w:val="007B4F72"/>
    <w:rsid w:val="007C2B86"/>
    <w:rsid w:val="007D53B9"/>
    <w:rsid w:val="008006B7"/>
    <w:rsid w:val="00803800"/>
    <w:rsid w:val="00815229"/>
    <w:rsid w:val="00815D1D"/>
    <w:rsid w:val="008168EB"/>
    <w:rsid w:val="00826C37"/>
    <w:rsid w:val="0084397D"/>
    <w:rsid w:val="008859D3"/>
    <w:rsid w:val="00892B97"/>
    <w:rsid w:val="00897813"/>
    <w:rsid w:val="008A13A6"/>
    <w:rsid w:val="008B725B"/>
    <w:rsid w:val="008C05A2"/>
    <w:rsid w:val="008C2624"/>
    <w:rsid w:val="008D6B98"/>
    <w:rsid w:val="0092011F"/>
    <w:rsid w:val="00920692"/>
    <w:rsid w:val="00941CAE"/>
    <w:rsid w:val="00942628"/>
    <w:rsid w:val="0095346E"/>
    <w:rsid w:val="00961611"/>
    <w:rsid w:val="00963BBE"/>
    <w:rsid w:val="00970D4E"/>
    <w:rsid w:val="00981545"/>
    <w:rsid w:val="00986AAC"/>
    <w:rsid w:val="009929D2"/>
    <w:rsid w:val="00997493"/>
    <w:rsid w:val="009A14A5"/>
    <w:rsid w:val="009A4366"/>
    <w:rsid w:val="009B05A4"/>
    <w:rsid w:val="009B0EC6"/>
    <w:rsid w:val="009C279F"/>
    <w:rsid w:val="009C52CA"/>
    <w:rsid w:val="009C7DB4"/>
    <w:rsid w:val="009E574E"/>
    <w:rsid w:val="009F0412"/>
    <w:rsid w:val="00A0109C"/>
    <w:rsid w:val="00A32300"/>
    <w:rsid w:val="00A35141"/>
    <w:rsid w:val="00A4488C"/>
    <w:rsid w:val="00A552E1"/>
    <w:rsid w:val="00A62ADF"/>
    <w:rsid w:val="00A82AB0"/>
    <w:rsid w:val="00AA007F"/>
    <w:rsid w:val="00AA433D"/>
    <w:rsid w:val="00AA7FD8"/>
    <w:rsid w:val="00AB76E3"/>
    <w:rsid w:val="00AD2B4A"/>
    <w:rsid w:val="00AE69C9"/>
    <w:rsid w:val="00AF05B2"/>
    <w:rsid w:val="00AF1902"/>
    <w:rsid w:val="00AF60DC"/>
    <w:rsid w:val="00B02466"/>
    <w:rsid w:val="00B07059"/>
    <w:rsid w:val="00B10F4E"/>
    <w:rsid w:val="00B17E61"/>
    <w:rsid w:val="00B334CB"/>
    <w:rsid w:val="00B41872"/>
    <w:rsid w:val="00B41BC3"/>
    <w:rsid w:val="00B467FD"/>
    <w:rsid w:val="00B47877"/>
    <w:rsid w:val="00B6224C"/>
    <w:rsid w:val="00BB74C3"/>
    <w:rsid w:val="00BC27E5"/>
    <w:rsid w:val="00BE1078"/>
    <w:rsid w:val="00BF50B2"/>
    <w:rsid w:val="00BF67E3"/>
    <w:rsid w:val="00BF7557"/>
    <w:rsid w:val="00C01478"/>
    <w:rsid w:val="00C34385"/>
    <w:rsid w:val="00C455B4"/>
    <w:rsid w:val="00C658DD"/>
    <w:rsid w:val="00C83F38"/>
    <w:rsid w:val="00C84BFA"/>
    <w:rsid w:val="00CA1254"/>
    <w:rsid w:val="00CB3903"/>
    <w:rsid w:val="00CC38B0"/>
    <w:rsid w:val="00CD4EB0"/>
    <w:rsid w:val="00CE5E92"/>
    <w:rsid w:val="00CF1DE4"/>
    <w:rsid w:val="00D04FF1"/>
    <w:rsid w:val="00D101CE"/>
    <w:rsid w:val="00D11C0B"/>
    <w:rsid w:val="00D17EA8"/>
    <w:rsid w:val="00D231F6"/>
    <w:rsid w:val="00D31F33"/>
    <w:rsid w:val="00D3448C"/>
    <w:rsid w:val="00D502AD"/>
    <w:rsid w:val="00D651B1"/>
    <w:rsid w:val="00D83CA5"/>
    <w:rsid w:val="00D85294"/>
    <w:rsid w:val="00DA0837"/>
    <w:rsid w:val="00DA3673"/>
    <w:rsid w:val="00DB0355"/>
    <w:rsid w:val="00DB049A"/>
    <w:rsid w:val="00DB13DE"/>
    <w:rsid w:val="00DB3BF9"/>
    <w:rsid w:val="00DC1531"/>
    <w:rsid w:val="00DD5589"/>
    <w:rsid w:val="00E06C59"/>
    <w:rsid w:val="00E16E39"/>
    <w:rsid w:val="00E265B0"/>
    <w:rsid w:val="00E26A5F"/>
    <w:rsid w:val="00E3069D"/>
    <w:rsid w:val="00E31710"/>
    <w:rsid w:val="00E32F2A"/>
    <w:rsid w:val="00E35D8F"/>
    <w:rsid w:val="00E408E9"/>
    <w:rsid w:val="00E429B3"/>
    <w:rsid w:val="00E431D3"/>
    <w:rsid w:val="00E4385B"/>
    <w:rsid w:val="00E468D9"/>
    <w:rsid w:val="00E574E0"/>
    <w:rsid w:val="00E67953"/>
    <w:rsid w:val="00E80865"/>
    <w:rsid w:val="00E80F23"/>
    <w:rsid w:val="00E8210B"/>
    <w:rsid w:val="00E84568"/>
    <w:rsid w:val="00E87D5F"/>
    <w:rsid w:val="00E97CC1"/>
    <w:rsid w:val="00EA5026"/>
    <w:rsid w:val="00EA705C"/>
    <w:rsid w:val="00EB5CF6"/>
    <w:rsid w:val="00EC319C"/>
    <w:rsid w:val="00EF06B1"/>
    <w:rsid w:val="00EF7F8C"/>
    <w:rsid w:val="00F02EFF"/>
    <w:rsid w:val="00F113FF"/>
    <w:rsid w:val="00F20A6C"/>
    <w:rsid w:val="00F2302E"/>
    <w:rsid w:val="00F276DC"/>
    <w:rsid w:val="00F41F8A"/>
    <w:rsid w:val="00F5022D"/>
    <w:rsid w:val="00F511CE"/>
    <w:rsid w:val="00F516F8"/>
    <w:rsid w:val="00F7205C"/>
    <w:rsid w:val="00F97B25"/>
    <w:rsid w:val="00FC44AB"/>
    <w:rsid w:val="00FD20BF"/>
    <w:rsid w:val="00FF0442"/>
    <w:rsid w:val="00FF1486"/>
    <w:rsid w:val="00FF5975"/>
    <w:rsid w:val="4F2D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7C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qFormat/>
    <w:rPr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1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1"/>
    <w:link w:val="ab"/>
    <w:pPr>
      <w:spacing w:after="120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ac">
    <w:name w:val="Title"/>
    <w:basedOn w:val="a1"/>
    <w:next w:val="a1"/>
    <w:link w:val="ad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e">
    <w:name w:val="footer"/>
    <w:basedOn w:val="a1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3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1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2"/>
    <w:link w:val="a8"/>
    <w:uiPriority w:val="99"/>
    <w:qFormat/>
  </w:style>
  <w:style w:type="character" w:customStyle="1" w:styleId="af">
    <w:name w:val="Нижний колонтитул Знак"/>
    <w:basedOn w:val="a2"/>
    <w:link w:val="ae"/>
    <w:uiPriority w:val="99"/>
  </w:style>
  <w:style w:type="character" w:customStyle="1" w:styleId="a7">
    <w:name w:val="Текст выноски Знак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link w:val="a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a">
    <w:name w:val="Глава договора"/>
    <w:basedOn w:val="ac"/>
    <w:qFormat/>
    <w:pPr>
      <w:numPr>
        <w:numId w:val="1"/>
      </w:numPr>
      <w:pBdr>
        <w:bottom w:val="none" w:sz="0" w:space="0" w:color="auto"/>
      </w:pBdr>
      <w:tabs>
        <w:tab w:val="left" w:pos="360"/>
      </w:tabs>
      <w:spacing w:after="0"/>
      <w:ind w:left="0" w:right="-1" w:firstLine="0"/>
      <w:contextualSpacing w:val="0"/>
      <w:jc w:val="both"/>
    </w:pPr>
    <w:rPr>
      <w:rFonts w:ascii="Times New Roman" w:hAnsi="Times New Roman"/>
      <w:b/>
      <w:color w:val="auto"/>
      <w:spacing w:val="0"/>
      <w:kern w:val="0"/>
      <w:sz w:val="24"/>
      <w:szCs w:val="24"/>
      <w:lang w:eastAsia="ru-RU"/>
    </w:rPr>
  </w:style>
  <w:style w:type="paragraph" w:customStyle="1" w:styleId="a0">
    <w:name w:val="пункт договора"/>
    <w:basedOn w:val="ac"/>
    <w:link w:val="af2"/>
    <w:qFormat/>
    <w:pPr>
      <w:numPr>
        <w:ilvl w:val="1"/>
        <w:numId w:val="1"/>
      </w:numPr>
      <w:pBdr>
        <w:bottom w:val="none" w:sz="0" w:space="0" w:color="auto"/>
      </w:pBdr>
      <w:tabs>
        <w:tab w:val="left" w:pos="1134"/>
      </w:tabs>
      <w:spacing w:after="0"/>
      <w:ind w:right="-1"/>
      <w:contextualSpacing w:val="0"/>
      <w:jc w:val="both"/>
    </w:pPr>
    <w:rPr>
      <w:rFonts w:ascii="Times New Roman" w:hAnsi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2">
    <w:name w:val="пункт договора Знак"/>
    <w:link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3">
    <w:name w:val="No Spacing"/>
    <w:link w:val="af4"/>
    <w:uiPriority w:val="1"/>
    <w:qFormat/>
    <w:rPr>
      <w:sz w:val="22"/>
      <w:szCs w:val="22"/>
      <w:lang w:eastAsia="en-US"/>
    </w:rPr>
  </w:style>
  <w:style w:type="character" w:customStyle="1" w:styleId="af4">
    <w:name w:val="Без интервала Знак"/>
    <w:link w:val="af3"/>
    <w:uiPriority w:val="1"/>
    <w:qFormat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qFormat/>
    <w:rPr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1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1"/>
    <w:link w:val="ab"/>
    <w:pPr>
      <w:spacing w:after="120" w:line="240" w:lineRule="auto"/>
    </w:pPr>
    <w:rPr>
      <w:rFonts w:ascii="Times New Roman" w:eastAsia="Arial Unicode MS" w:hAnsi="Times New Roman"/>
      <w:sz w:val="24"/>
      <w:szCs w:val="24"/>
      <w:lang w:eastAsia="ru-RU"/>
    </w:rPr>
  </w:style>
  <w:style w:type="paragraph" w:styleId="ac">
    <w:name w:val="Title"/>
    <w:basedOn w:val="a1"/>
    <w:next w:val="a1"/>
    <w:link w:val="ad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e">
    <w:name w:val="footer"/>
    <w:basedOn w:val="a1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3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1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2"/>
    <w:link w:val="a8"/>
    <w:uiPriority w:val="99"/>
    <w:qFormat/>
  </w:style>
  <w:style w:type="character" w:customStyle="1" w:styleId="af">
    <w:name w:val="Нижний колонтитул Знак"/>
    <w:basedOn w:val="a2"/>
    <w:link w:val="ae"/>
    <w:uiPriority w:val="99"/>
  </w:style>
  <w:style w:type="character" w:customStyle="1" w:styleId="a7">
    <w:name w:val="Текст выноски Знак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link w:val="a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a">
    <w:name w:val="Глава договора"/>
    <w:basedOn w:val="ac"/>
    <w:qFormat/>
    <w:pPr>
      <w:numPr>
        <w:numId w:val="1"/>
      </w:numPr>
      <w:pBdr>
        <w:bottom w:val="none" w:sz="0" w:space="0" w:color="auto"/>
      </w:pBdr>
      <w:tabs>
        <w:tab w:val="left" w:pos="360"/>
      </w:tabs>
      <w:spacing w:after="0"/>
      <w:ind w:left="0" w:right="-1" w:firstLine="0"/>
      <w:contextualSpacing w:val="0"/>
      <w:jc w:val="both"/>
    </w:pPr>
    <w:rPr>
      <w:rFonts w:ascii="Times New Roman" w:hAnsi="Times New Roman"/>
      <w:b/>
      <w:color w:val="auto"/>
      <w:spacing w:val="0"/>
      <w:kern w:val="0"/>
      <w:sz w:val="24"/>
      <w:szCs w:val="24"/>
      <w:lang w:eastAsia="ru-RU"/>
    </w:rPr>
  </w:style>
  <w:style w:type="paragraph" w:customStyle="1" w:styleId="a0">
    <w:name w:val="пункт договора"/>
    <w:basedOn w:val="ac"/>
    <w:link w:val="af2"/>
    <w:qFormat/>
    <w:pPr>
      <w:numPr>
        <w:ilvl w:val="1"/>
        <w:numId w:val="1"/>
      </w:numPr>
      <w:pBdr>
        <w:bottom w:val="none" w:sz="0" w:space="0" w:color="auto"/>
      </w:pBdr>
      <w:tabs>
        <w:tab w:val="left" w:pos="1134"/>
      </w:tabs>
      <w:spacing w:after="0"/>
      <w:ind w:right="-1"/>
      <w:contextualSpacing w:val="0"/>
      <w:jc w:val="both"/>
    </w:pPr>
    <w:rPr>
      <w:rFonts w:ascii="Times New Roman" w:hAnsi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2">
    <w:name w:val="пункт договора Знак"/>
    <w:link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3">
    <w:name w:val="No Spacing"/>
    <w:link w:val="af4"/>
    <w:uiPriority w:val="1"/>
    <w:qFormat/>
    <w:rPr>
      <w:sz w:val="22"/>
      <w:szCs w:val="22"/>
      <w:lang w:eastAsia="en-US"/>
    </w:rPr>
  </w:style>
  <w:style w:type="character" w:customStyle="1" w:styleId="af4">
    <w:name w:val="Без интервала Знак"/>
    <w:link w:val="af3"/>
    <w:uiPriority w:val="1"/>
    <w:qFormat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7931209.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E271786-AC98-47FF-BB2D-D24EB87E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Айганым А. Баймуратова</cp:lastModifiedBy>
  <cp:revision>11</cp:revision>
  <cp:lastPrinted>2023-12-14T12:54:00Z</cp:lastPrinted>
  <dcterms:created xsi:type="dcterms:W3CDTF">2024-04-17T11:55:00Z</dcterms:created>
  <dcterms:modified xsi:type="dcterms:W3CDTF">2024-04-25T06:51:00Z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69E2BF3DBD4B41F3A779E9C126FD30A4_13</vt:lpwstr>
  </property>
</Properties>
</file>